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3C2" w:rsidRPr="005803C2" w:rsidRDefault="005803C2" w:rsidP="005803C2">
      <w:r w:rsidRPr="005803C2">
        <w:rPr>
          <w:b/>
          <w:bCs/>
        </w:rPr>
        <w:t>Concepto 746 [006261]</w:t>
      </w:r>
    </w:p>
    <w:p w:rsidR="005803C2" w:rsidRPr="005803C2" w:rsidRDefault="005803C2" w:rsidP="005803C2">
      <w:r w:rsidRPr="005803C2">
        <w:rPr>
          <w:b/>
          <w:bCs/>
        </w:rPr>
        <w:t>06-09-2024</w:t>
      </w:r>
    </w:p>
    <w:p w:rsidR="005803C2" w:rsidRPr="005803C2" w:rsidRDefault="005803C2" w:rsidP="005803C2">
      <w:r w:rsidRPr="005803C2">
        <w:rPr>
          <w:b/>
          <w:bCs/>
        </w:rPr>
        <w:t>DIAN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100208192-746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Bogotá, D.C.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rPr>
          <w:b/>
          <w:bCs/>
        </w:rPr>
        <w:t>Competencia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Esta Subdirección está facultada para absolver las consultas escritas, presentadas de manera general, sobre la interpretación y aplicación de las normas tributarias, aduaneras y de fiscalización cambiaria, en lo de competencia de la DIAN</w:t>
      </w:r>
      <w:hyperlink r:id="rId6" w:anchor="cite_note-1" w:history="1">
        <w:r w:rsidRPr="005803C2">
          <w:rPr>
            <w:rStyle w:val="Hipervnculo"/>
            <w:color w:val="auto"/>
            <w:u w:val="none"/>
            <w:vertAlign w:val="superscript"/>
          </w:rPr>
          <w:t>1</w:t>
        </w:r>
      </w:hyperlink>
      <w:r w:rsidRPr="005803C2">
        <w:t>. En este sentido, la doctrina emitida será de carácter general, no se referirá a asuntos particulares y se someterá a lo consagrado en el artículo 131 de la Ley 2010 de 2019</w:t>
      </w:r>
      <w:hyperlink r:id="rId7" w:anchor="cite_note-2" w:history="1">
        <w:r w:rsidRPr="005803C2">
          <w:rPr>
            <w:rStyle w:val="Hipervnculo"/>
            <w:color w:val="auto"/>
            <w:u w:val="none"/>
            <w:vertAlign w:val="superscript"/>
          </w:rPr>
          <w:t>2</w:t>
        </w:r>
      </w:hyperlink>
      <w:r w:rsidRPr="005803C2">
        <w:t>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rPr>
          <w:b/>
          <w:bCs/>
        </w:rPr>
        <w:t>Consulta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1. En atención a la consulta de la referencia en la que solicita se indique cuál es la normatividad vigente para la reducción de las sanciones y de la tasa de intereses moratorios a causa de la presentación extemporánea o inexacta de las declaraciones tributarias, a continuación, nuestros comentarios: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2. En primer lugar, es importante señalar que la normatividad tributaria contempla la aplicación de los principios de proporcionalidad y gradualidad en las sanciones impuestas a los contribuyentes derivadas de las inconsistencias que se presenten en sus declaraciones tributarias, lo cual está señalado en el </w:t>
      </w:r>
      <w:hyperlink r:id="rId8" w:tooltip="Estatuto Tributario CETA" w:history="1">
        <w:r w:rsidRPr="005803C2">
          <w:rPr>
            <w:rStyle w:val="Hipervnculo"/>
            <w:color w:val="auto"/>
            <w:u w:val="none"/>
          </w:rPr>
          <w:t>artículo 640</w:t>
        </w:r>
      </w:hyperlink>
      <w:r w:rsidRPr="005803C2">
        <w:t> del Estatuto Tributario. No obstante, ocasionalmente en las leyes que contienen las reformas tributarias se han establecido transitoriamente reducciones de sanciones, tal y como fue el caso de la Ley 2277 de 2022 que en su artículo 93 dispuso: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«Artículo 93. Reducción transitoria de sanciones. Para los contribuyentes que a treinta y uno (31) de diciembre de 2022 no hayan presentado las declaraciones tributarias a que estaban obligados por lo impuesto administrados por la Unidad Administrativa Especial Dirección de Impuestos y Aduanas Nacionales -DIAN y que las presenten antes del treinta y uno (31) de mayo de 2023, con pago o con facilidades o acuerdos para el pago solicitadas a esta fecha y suscritas antes del treinta (30) de junio de 2023, se reducirán y liquidarán las sanciones y la tasa de interés moratoria en los siguientes términos: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1. La sanción de extemporaneidad se reducirá en un sesenta por ciento (60%) del monto determinado después de aplicar los artículos </w:t>
      </w:r>
      <w:hyperlink r:id="rId9" w:tooltip="Estatuto Tributario CETA" w:history="1">
        <w:r w:rsidRPr="005803C2">
          <w:rPr>
            <w:rStyle w:val="Hipervnculo"/>
            <w:color w:val="auto"/>
            <w:u w:val="none"/>
          </w:rPr>
          <w:t>641</w:t>
        </w:r>
      </w:hyperlink>
      <w:r w:rsidRPr="005803C2">
        <w:t> y </w:t>
      </w:r>
      <w:hyperlink r:id="rId10" w:tooltip="Estatuto Tributario CETA" w:history="1">
        <w:r w:rsidRPr="005803C2">
          <w:rPr>
            <w:rStyle w:val="Hipervnculo"/>
            <w:color w:val="auto"/>
            <w:u w:val="none"/>
          </w:rPr>
          <w:t>640</w:t>
        </w:r>
      </w:hyperlink>
      <w:r w:rsidRPr="005803C2">
        <w:t> del Estatuto Tributario.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2. La tasa de interés de mora se reducirá en un sesenta por ciento (60%) de la (sic) interés establecida en el </w:t>
      </w:r>
      <w:hyperlink r:id="rId11" w:tooltip="Estatuto Tributario CETA" w:history="1">
        <w:r w:rsidRPr="005803C2">
          <w:rPr>
            <w:rStyle w:val="Hipervnculo"/>
            <w:color w:val="auto"/>
            <w:u w:val="none"/>
          </w:rPr>
          <w:t>artículo 635</w:t>
        </w:r>
      </w:hyperlink>
      <w:r w:rsidRPr="005803C2">
        <w:t> del Estatuto Tributario. (...)»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3. De lo anterior, es importante resaltar que el artículo 93 de la Ley 2277 de 2022 señalado en la consulta, solo fue aplicable para las obligaciones tributarias pendientes a 31 de diciembre de 2022 que se presentarán antes del 31 de mayo de 2023 con pago o acuerdo de pago suscrito antes del 30 de junio de 2023, y de haberse cumplido con las condiciones previstas en la norma, el contribuyente accedía a una reducción del 60% del monto a pagar.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4. Actualmente, no existe una reducción de sanciones y de tasa de interés moratorio vigente por lo que solo es posible aplicar el </w:t>
      </w:r>
      <w:hyperlink r:id="rId12" w:tooltip="Estatuto Tributario CETA" w:history="1">
        <w:r w:rsidRPr="005803C2">
          <w:rPr>
            <w:rStyle w:val="Hipervnculo"/>
            <w:color w:val="auto"/>
            <w:u w:val="none"/>
          </w:rPr>
          <w:t>artículo 640</w:t>
        </w:r>
      </w:hyperlink>
      <w:r w:rsidRPr="005803C2">
        <w:t> del Estatuto Tributario.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«</w:t>
      </w:r>
      <w:hyperlink r:id="rId13" w:tooltip="Estatuto Tributario CETA" w:history="1">
        <w:r w:rsidRPr="005803C2">
          <w:rPr>
            <w:rStyle w:val="Hipervnculo"/>
            <w:color w:val="auto"/>
            <w:u w:val="none"/>
          </w:rPr>
          <w:t>Artículo 640</w:t>
        </w:r>
      </w:hyperlink>
      <w:r w:rsidRPr="005803C2">
        <w:t>. Aplicación de los principios de lesividad, proporcionalidad, gradualidad y favorabilidad en el régimen sancionatorio. Para la aplicación del régimen sancionatorio establecido en el presente Estatuto se deberá atender a lo dispuesto en el presente artículo.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Cuando la sanción deba ser liquidada por el contribuyente, agente retenedor, responsable o declarante: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1. La sanción se reducirá al cincuenta por ciento (50%) del monto previsto en la ley, en tanto concurran las siguientes condiciones: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a) Que dentro de los dos (2) años anteriores a la fecha de la comisión de la conducta sancionable no se hubiere cometido la misma; y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b) Siempre que la Administración Tributaria no haya proferido pliego de cargos, requerimiento especial o emplazamiento previo por no declarar, según el caso.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2. La sanción se reducirá al setenta y cinco por ciento (75%) del monto previsto en la ley, en tanto concurran las siguientes condiciones: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a) Que dentro del año (1) año anterior a la fecha de la comisión de la conducta sancionable no se hubiere cometido la misma; y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b) Siempre que la Administración Tributaria no haya proferido pliego de cargos, requerimiento especial o emplazamiento previo por no declarar, según el caso.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Cuando la sanción sea propuesta o determinada por la Dirección de Impuestos y Aduanas Nacionales: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3. La sanción se reducirá al cincuenta por ciento (50%) del monto previsto en la ley, en tanto concurran las siguientes condiciones: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a) Que dentro de los cuatro (4) años anteriores a la fecha de la comisión de la conducta sancionable no se hubiere cometido la misma, y esta se hubiere sancionado mediante acto administrativo en firme; y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b) Que la sanción sea aceptada y la infracción subsanada de conformidad con lo establecido en el tipo sancionatorio correspondiente.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4. La sanción se reducirá al setenta y cinco por ciento (75%) del monto previsto en la ley, en tanto concurran las siguientes condiciones: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a) Que dentro de los dos (2) años anteriores a la fecha de la comisión de la conducta sancionable no se hubiere cometido la misma, y esta se hubiere sancionado mediante acto administrativo en firme; y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b) Que la sanción sea aceptada y la infracción subsanada de conformidad con lo establecido en el tipo sancionatorio correspondiente.»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5. Así las cosas, solo es posible acceder a la aplicación de los principios de lesividad, proporcionalidad, gradualidad y favorabilidad en el régimen sancionatorio establecidos en el </w:t>
      </w:r>
      <w:hyperlink r:id="rId14" w:tooltip="Estatuto Tributario CETA" w:history="1">
        <w:r w:rsidRPr="005803C2">
          <w:rPr>
            <w:rStyle w:val="Hipervnculo"/>
            <w:color w:val="auto"/>
            <w:u w:val="none"/>
          </w:rPr>
          <w:t>artículo 640</w:t>
        </w:r>
      </w:hyperlink>
      <w:r w:rsidRPr="005803C2">
        <w:t> del Estatuto Tributario, siempre que se cumplan con las condiciones exigidas enunciadas con antelación y dependiendo de si la sanción la líquida el contribuyente o la administración tributaria.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6. Por su parte, en lo que corresponde a la consulta relacionada con el crédito fiscal, el contribuyente que tenga un crédito fiscal a su favor, podrá utilizarlo para efectuar el pago de las sanciones e intereses moratorios derivados de las declaraciones tributarias no presentadas o presentadas de manera extemporánea o errónea, así como para efectuar el pago de los impuestos que tenga a su cargo.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En los anteriores términos se absuelve su petición y se recuerda que la normativa, jurisprudencia y doctrina en materia tributaria, aduanera y de fiscalización cambiaria, en lo de competencia de esta Entidad, puede consultarse en el normograma DIAN: </w:t>
      </w:r>
      <w:hyperlink r:id="rId15" w:tgtFrame="_blank" w:history="1">
        <w:r w:rsidRPr="005803C2">
          <w:rPr>
            <w:rStyle w:val="Hipervnculo"/>
            <w:color w:val="auto"/>
            <w:u w:val="none"/>
          </w:rPr>
          <w:t>https://normograma.dian.gov.co/dian/</w:t>
        </w:r>
      </w:hyperlink>
      <w:r w:rsidRPr="005803C2">
        <w:t>.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Atentamente,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r w:rsidRPr="005803C2">
        <w:rPr>
          <w:b/>
          <w:bCs/>
        </w:rPr>
        <w:t>INGRID CASTAÑEDA CEPEDA</w:t>
      </w:r>
    </w:p>
    <w:p w:rsidR="005803C2" w:rsidRPr="005803C2" w:rsidRDefault="005803C2" w:rsidP="005803C2">
      <w:r w:rsidRPr="005803C2">
        <w:t>Subdirectora de Normativa y Doctrina (A)</w:t>
      </w:r>
    </w:p>
    <w:p w:rsidR="005803C2" w:rsidRPr="005803C2" w:rsidRDefault="005803C2" w:rsidP="005803C2">
      <w:r w:rsidRPr="005803C2">
        <w:t>Dirección de Gestión Jurídica</w:t>
      </w:r>
    </w:p>
    <w:p w:rsidR="005803C2" w:rsidRPr="005803C2" w:rsidRDefault="005803C2" w:rsidP="005803C2">
      <w:r w:rsidRPr="005803C2">
        <w:t> </w:t>
      </w:r>
    </w:p>
    <w:p w:rsidR="005803C2" w:rsidRPr="005803C2" w:rsidRDefault="005803C2" w:rsidP="005803C2">
      <w:pPr>
        <w:rPr>
          <w:b/>
          <w:bCs/>
        </w:rPr>
      </w:pPr>
      <w:r w:rsidRPr="005803C2">
        <w:rPr>
          <w:b/>
          <w:bCs/>
        </w:rPr>
        <w:t>Notas al pie</w:t>
      </w:r>
    </w:p>
    <w:p w:rsidR="00A42653" w:rsidRDefault="00A42653"/>
    <w:sectPr w:rsidR="00A42653">
      <w:footerReference w:type="even" r:id="rId16"/>
      <w:footerReference w:type="defaul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0612" w:rsidRDefault="001A0612" w:rsidP="005803C2">
      <w:pPr>
        <w:spacing w:after="0" w:line="240" w:lineRule="auto"/>
      </w:pPr>
      <w:r>
        <w:separator/>
      </w:r>
    </w:p>
  </w:endnote>
  <w:endnote w:type="continuationSeparator" w:id="0">
    <w:p w:rsidR="001A0612" w:rsidRDefault="001A0612" w:rsidP="0058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03C2" w:rsidRDefault="004207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584A79" wp14:editId="3AF815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6135" cy="324485"/>
              <wp:effectExtent l="0" t="0" r="12065" b="0"/>
              <wp:wrapNone/>
              <wp:docPr id="598865582" name="Cuadro de texto 5" descr="Información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07C8" w:rsidRPr="004207C8" w:rsidRDefault="004207C8" w:rsidP="004207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07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Información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84A7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Información Interna" style="position:absolute;margin-left:0;margin-top:0;width:65.0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:rsidR="004207C8" w:rsidRPr="004207C8" w:rsidRDefault="004207C8" w:rsidP="004207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207C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Información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03C2" w:rsidRDefault="004207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4F43F1" wp14:editId="7EBB69DF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6135" cy="324485"/>
              <wp:effectExtent l="0" t="0" r="12065" b="0"/>
              <wp:wrapNone/>
              <wp:docPr id="1394460272" name="Cuadro de texto 6" descr="Información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07C8" w:rsidRPr="004207C8" w:rsidRDefault="004207C8" w:rsidP="004207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07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Información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F43F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alt="Información Interna" style="position:absolute;margin-left:0;margin-top:0;width:65.05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:rsidR="004207C8" w:rsidRPr="004207C8" w:rsidRDefault="004207C8" w:rsidP="004207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207C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Información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03C2" w:rsidRDefault="004207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F8BEF1" wp14:editId="4D8A8B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6135" cy="324485"/>
              <wp:effectExtent l="0" t="0" r="12065" b="0"/>
              <wp:wrapNone/>
              <wp:docPr id="1204736481" name="Cuadro de texto 4" descr="Información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07C8" w:rsidRPr="004207C8" w:rsidRDefault="004207C8" w:rsidP="004207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07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Información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8BEF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alt="Información Interna" style="position:absolute;margin-left:0;margin-top:0;width:65.0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:rsidR="004207C8" w:rsidRPr="004207C8" w:rsidRDefault="004207C8" w:rsidP="004207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207C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Información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0612" w:rsidRDefault="001A0612" w:rsidP="005803C2">
      <w:pPr>
        <w:spacing w:after="0" w:line="240" w:lineRule="auto"/>
      </w:pPr>
      <w:r>
        <w:separator/>
      </w:r>
    </w:p>
  </w:footnote>
  <w:footnote w:type="continuationSeparator" w:id="0">
    <w:p w:rsidR="001A0612" w:rsidRDefault="001A0612" w:rsidP="00580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C2"/>
    <w:rsid w:val="001A0612"/>
    <w:rsid w:val="004207C8"/>
    <w:rsid w:val="005803C2"/>
    <w:rsid w:val="009D419A"/>
    <w:rsid w:val="00A40987"/>
    <w:rsid w:val="00A42653"/>
    <w:rsid w:val="00D1477F"/>
    <w:rsid w:val="00D60D60"/>
    <w:rsid w:val="00D81392"/>
    <w:rsid w:val="00F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975B"/>
  <w15:chartTrackingRefBased/>
  <w15:docId w15:val="{78F38ABE-3297-48B7-92C6-97762044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03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03C2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580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795" TargetMode="External"/><Relationship Id="rId13" Type="http://schemas.openxmlformats.org/officeDocument/2006/relationships/hyperlink" Target="https://www.ceta.org.co/html/vista_de_un_articulo.asp?Norma=795" TargetMode="Externa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documento.asp?DocumentoID=52435" TargetMode="External"/><Relationship Id="rId12" Type="http://schemas.openxmlformats.org/officeDocument/2006/relationships/hyperlink" Target="https://www.ceta.org.co/html/vista_de_un_articulo.asp?Norma=795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documento.asp?DocumentoID=52435" TargetMode="External"/><Relationship Id="rId11" Type="http://schemas.openxmlformats.org/officeDocument/2006/relationships/hyperlink" Target="https://www.ceta.org.co/html/vista_de_un_articulo.asp?Norma=7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ormograma.dian.gov.co/dian/" TargetMode="External"/><Relationship Id="rId10" Type="http://schemas.openxmlformats.org/officeDocument/2006/relationships/hyperlink" Target="https://www.ceta.org.co/html/vista_de_un_articulo.asp?Norma=79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eta.org.co/html/vista_de_un_articulo.asp?Norma=798" TargetMode="External"/><Relationship Id="rId14" Type="http://schemas.openxmlformats.org/officeDocument/2006/relationships/hyperlink" Target="https://www.ceta.org.co/html/vista_de_un_articulo.asp?Norma=79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RIETO\Documents\Plantillas%20personalizadas%20de%20Office\Documento%20Sin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f088d4-1c62-43b9-9bfe-4931971eafed}" enabled="1" method="Privileged" siteId="{c254eece-964c-40d3-81bd-d74656c087fd}" contentBits="2" removed="0"/>
  <clbl:label id="{dbe97c7a-fc10-4cc2-b72a-e7346a5f0737}" enabled="1" method="Privileged" siteId="{c254eece-964c-40d3-81bd-d74656c087f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Documento Sin Plantilla</Template>
  <TotalTime>0</TotalTime>
  <Pages>1</Pages>
  <Words>1151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Geraldine Prieto Gomez</dc:creator>
  <cp:keywords/>
  <dc:description/>
  <cp:lastModifiedBy>Julian Camilo Velosa Morales</cp:lastModifiedBy>
  <cp:revision>1</cp:revision>
  <dcterms:created xsi:type="dcterms:W3CDTF">2024-11-20T19:24:00Z</dcterms:created>
  <dcterms:modified xsi:type="dcterms:W3CDTF">2024-11-20T19:24:00Z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47ced1e1,23b1f6ae,531dc670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Información Interna</vt:lpwstr>
  </property>
  <property fmtid="{D5CDD505-2E9C-101B-9397-08002B2CF9AE}" pid="5" name="MSIP_Label_dbe97c7a-fc10-4cc2-b72a-e7346a5f0737_Enabled">
    <vt:lpwstr>true</vt:lpwstr>
  </property>
  <property fmtid="{D5CDD505-2E9C-101B-9397-08002B2CF9AE}" pid="6" name="MSIP_Label_dbe97c7a-fc10-4cc2-b72a-e7346a5f0737_SetDate">
    <vt:lpwstr>2024-11-20T19:24:03Z</vt:lpwstr>
  </property>
  <property fmtid="{D5CDD505-2E9C-101B-9397-08002B2CF9AE}" pid="7" name="MSIP_Label_dbe97c7a-fc10-4cc2-b72a-e7346a5f0737_Method">
    <vt:lpwstr>Standard</vt:lpwstr>
  </property>
  <property fmtid="{D5CDD505-2E9C-101B-9397-08002B2CF9AE}" pid="8" name="MSIP_Label_dbe97c7a-fc10-4cc2-b72a-e7346a5f0737_Name">
    <vt:lpwstr>dbe97c7a-fc10-4cc2-b72a-e7346a5f0737</vt:lpwstr>
  </property>
  <property fmtid="{D5CDD505-2E9C-101B-9397-08002B2CF9AE}" pid="9" name="MSIP_Label_dbe97c7a-fc10-4cc2-b72a-e7346a5f0737_SiteId">
    <vt:lpwstr>c254eece-964c-40d3-81bd-d74656c087fd</vt:lpwstr>
  </property>
  <property fmtid="{D5CDD505-2E9C-101B-9397-08002B2CF9AE}" pid="10" name="MSIP_Label_dbe97c7a-fc10-4cc2-b72a-e7346a5f0737_ActionId">
    <vt:lpwstr>761bad9c-ed42-40cd-85c2-3455bbe113c2</vt:lpwstr>
  </property>
  <property fmtid="{D5CDD505-2E9C-101B-9397-08002B2CF9AE}" pid="11" name="MSIP_Label_dbe97c7a-fc10-4cc2-b72a-e7346a5f0737_ContentBits">
    <vt:lpwstr>0</vt:lpwstr>
  </property>
</Properties>
</file>